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highlight w:val="yellow"/>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04">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trHeight w:val="20" w:hRule="atLeast"/>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trHeight w:val="20" w:hRule="atLeast"/>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Framework Contract; and</w:t>
            </w:r>
          </w:p>
        </w:tc>
      </w:tr>
      <w:tr>
        <w:trPr>
          <w:trHeight w:val="20" w:hRule="atLeast"/>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C">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D">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Framework Contract is conditional upon the availability of a Guarantee for each Call-Off Contract:</w:t>
      </w:r>
    </w:p>
    <w:p w:rsidR="00000000" w:rsidDel="00000000" w:rsidP="00000000" w:rsidRDefault="00000000" w:rsidRPr="00000000" w14:paraId="0000000E">
      <w:pPr>
        <w:pStyle w:val="Heading2"/>
        <w:keepNext w:val="1"/>
        <w:numPr>
          <w:ilvl w:val="2"/>
          <w:numId w:val="3"/>
        </w:numPr>
        <w:ind w:left="1800" w:hanging="1080"/>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as a condition for the award of the Framework Contract, the Supplier must have delivered to CCS within 30 days of a request by CCS:</w:t>
      </w:r>
    </w:p>
    <w:p w:rsidR="00000000" w:rsidDel="00000000" w:rsidP="00000000" w:rsidRDefault="00000000" w:rsidRPr="00000000" w14:paraId="0000000F">
      <w:pPr>
        <w:pStyle w:val="Heading3"/>
        <w:numPr>
          <w:ilvl w:val="3"/>
          <w:numId w:val="3"/>
        </w:numPr>
        <w:ind w:left="2694" w:hanging="864"/>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10">
      <w:pPr>
        <w:pStyle w:val="Heading3"/>
        <w:numPr>
          <w:ilvl w:val="3"/>
          <w:numId w:val="3"/>
        </w:numPr>
        <w:ind w:left="2694" w:hanging="864"/>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1">
      <w:pPr>
        <w:pStyle w:val="Heading2"/>
        <w:numPr>
          <w:ilvl w:val="2"/>
          <w:numId w:val="3"/>
        </w:numPr>
        <w:ind w:left="1797" w:hanging="1077"/>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2">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3">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Framework Contract; and </w:t>
      </w:r>
    </w:p>
    <w:p w:rsidR="00000000" w:rsidDel="00000000" w:rsidP="00000000" w:rsidRDefault="00000000" w:rsidRPr="00000000" w14:paraId="00000014">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Call-Off Contracts, </w:t>
      </w:r>
    </w:p>
    <w:p w:rsidR="00000000" w:rsidDel="00000000" w:rsidP="00000000" w:rsidRDefault="00000000" w:rsidRPr="00000000" w14:paraId="00000015">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10.4.1(d) of the Core Terms.</w:t>
      </w:r>
    </w:p>
    <w:p w:rsidR="00000000" w:rsidDel="00000000" w:rsidP="00000000" w:rsidRDefault="00000000" w:rsidRPr="00000000" w14:paraId="00000016">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the CCS has received a Letter of Intent to Guarantee from the Guarantor pursuant to Paragraph 2.1.1, CCS may terminate this Framework Contract as a material Default of the Contract for the purposes of Clause 10.4.1(d) of the Core Terms where:</w:t>
      </w:r>
    </w:p>
    <w:p w:rsidR="00000000" w:rsidDel="00000000" w:rsidP="00000000" w:rsidRDefault="00000000" w:rsidRPr="00000000" w14:paraId="00000017">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8">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9">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A">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B">
      <w:pPr>
        <w:pStyle w:val="Heading3"/>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C">
      <w:pPr>
        <w:pStyle w:val="Heading2"/>
        <w:keepNext w:val="1"/>
        <w:numPr>
          <w:ilvl w:val="1"/>
          <w:numId w:val="3"/>
        </w:numPr>
        <w:ind w:left="709" w:hanging="720"/>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sz w:val="24"/>
          <w:szCs w:val="24"/>
          <w:rtl w:val="0"/>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rsidR="00000000" w:rsidDel="00000000" w:rsidP="00000000" w:rsidRDefault="00000000" w:rsidRPr="00000000" w14:paraId="0000001D">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E">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F">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Call-Off Contract for as a material Default of the Contract for the purposes of Clause 10.4.1(d) of the Core Terms where:</w:t>
      </w:r>
    </w:p>
    <w:p w:rsidR="00000000" w:rsidDel="00000000" w:rsidP="00000000" w:rsidRDefault="00000000" w:rsidRPr="00000000" w14:paraId="00000020">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21">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2">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3">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4">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5">
      <w:pPr>
        <w:pStyle w:val="Heading3"/>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p>
    <w:p w:rsidR="00000000" w:rsidDel="00000000" w:rsidP="00000000" w:rsidRDefault="00000000" w:rsidRPr="00000000" w14:paraId="00000026">
      <w:pPr>
        <w:spacing w:after="200" w:line="276" w:lineRule="auto"/>
        <w:jc w:val="left"/>
        <w:rPr>
          <w:rFonts w:ascii="Arial" w:cs="Arial" w:eastAsia="Arial" w:hAnsi="Arial"/>
          <w:b w:val="1"/>
          <w:smallCaps w:val="1"/>
          <w:sz w:val="24"/>
          <w:szCs w:val="24"/>
          <w:highlight w:val="green"/>
        </w:rPr>
      </w:pPr>
      <w:r w:rsidDel="00000000" w:rsidR="00000000" w:rsidRPr="00000000">
        <w:rPr>
          <w:rtl w:val="0"/>
        </w:rPr>
      </w:r>
    </w:p>
    <w:p w:rsidR="00000000" w:rsidDel="00000000" w:rsidP="00000000" w:rsidRDefault="00000000" w:rsidRPr="00000000" w14:paraId="00000027">
      <w:pPr>
        <w:spacing w:after="200" w:line="276" w:lineRule="auto"/>
        <w:jc w:val="left"/>
        <w:rPr>
          <w:rFonts w:ascii="Arial" w:cs="Arial" w:eastAsia="Arial" w:hAnsi="Arial"/>
          <w:b w:val="1"/>
          <w:smallCaps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highlight w:val="yellow"/>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3402"/>
        </w:tabs>
        <w:spacing w:after="220" w:lineRule="auto"/>
        <w:ind w:left="11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33">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35">
      <w:pPr>
        <w:tabs>
          <w:tab w:val="left" w:pos="-144"/>
          <w:tab w:val="left" w:pos="1008"/>
          <w:tab w:val="left" w:pos="2160"/>
          <w:tab w:val="left" w:pos="3060"/>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6">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8">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9">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A">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B">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C">
      <w:pPr>
        <w:pStyle w:val="Heading1"/>
        <w:numPr>
          <w:ilvl w:val="0"/>
          <w:numId w:val="4"/>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D">
      <w:pPr>
        <w:keepNext w:val="1"/>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F">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828.0" w:type="dxa"/>
        <w:tblLayout w:type="fixed"/>
        <w:tblLook w:val="0400"/>
      </w:tblPr>
      <w:tblGrid>
        <w:gridCol w:w="2790"/>
        <w:gridCol w:w="5988"/>
        <w:tblGridChange w:id="0">
          <w:tblGrid>
            <w:gridCol w:w="2790"/>
            <w:gridCol w:w="5988"/>
          </w:tblGrid>
        </w:tblGridChange>
      </w:tblGrid>
      <w:tr>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Call-Off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 Call-Off Contract</w:t>
            </w:r>
            <w:r w:rsidDel="00000000" w:rsidR="00000000" w:rsidRPr="00000000">
              <w:rPr>
                <w:rFonts w:ascii="Arial" w:cs="Arial" w:eastAsia="Arial" w:hAnsi="Arial"/>
                <w:color w:val="000000"/>
                <w:sz w:val="24"/>
                <w:szCs w:val="24"/>
                <w:rtl w:val="0"/>
              </w:rPr>
              <w:t xml:space="preserve">] and "Beneficiaries" shall be construed accordingly;</w:t>
            </w:r>
          </w:p>
        </w:tc>
      </w:tr>
      <w:tr>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Framework Contract;</w:t>
            </w:r>
          </w:p>
        </w:tc>
      </w:tr>
      <w:tr>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framework contract [</w:t>
            </w:r>
            <w:r w:rsidDel="00000000" w:rsidR="00000000" w:rsidRPr="00000000">
              <w:rPr>
                <w:rFonts w:ascii="Arial" w:cs="Arial" w:eastAsia="Arial" w:hAnsi="Arial"/>
                <w:b w:val="1"/>
                <w:color w:val="000000"/>
                <w:sz w:val="24"/>
                <w:szCs w:val="24"/>
                <w:rtl w:val="0"/>
              </w:rPr>
              <w:t xml:space="preserve">insert RM number and name of the framework</w:t>
            </w:r>
            <w:r w:rsidDel="00000000" w:rsidR="00000000" w:rsidRPr="00000000">
              <w:rPr>
                <w:rFonts w:ascii="Arial" w:cs="Arial" w:eastAsia="Arial" w:hAnsi="Arial"/>
                <w:color w:val="000000"/>
                <w:sz w:val="24"/>
                <w:szCs w:val="24"/>
                <w:rtl w:val="0"/>
              </w:rPr>
              <w:t xml:space="preserve">] between the Minister for the Cabinet Office represented by its executive agency the Crown Commercial Service and the Supplier;</w:t>
            </w:r>
          </w:p>
        </w:tc>
      </w:tr>
      <w:tr>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Call-Off Contract] [the Call-Off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c>
          <w:tcPr>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tc>
          <w:tcPr>
            <w:shd w:fill="auto"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shd w:fill="auto" w:val="clear"/>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D">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F">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50">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51">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7">
      <w:pPr>
        <w:pStyle w:val="Heading2"/>
        <w:numPr>
          <w:ilvl w:val="1"/>
          <w:numId w:val="4"/>
        </w:numPr>
        <w:ind w:left="1429" w:hanging="72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8">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9">
      <w:pPr>
        <w:pStyle w:val="Heading2"/>
        <w:numPr>
          <w:ilvl w:val="1"/>
          <w:numId w:val="4"/>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C">
      <w:pPr>
        <w:pStyle w:val="Heading2"/>
        <w:numPr>
          <w:ilvl w:val="1"/>
          <w:numId w:val="4"/>
        </w:numPr>
        <w:ind w:left="1429" w:hanging="72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D">
      <w:pPr>
        <w:pStyle w:val="Heading1"/>
        <w:numPr>
          <w:ilvl w:val="0"/>
          <w:numId w:val="4"/>
        </w:numPr>
        <w:ind w:left="720" w:hanging="720"/>
        <w:rPr>
          <w:rFonts w:ascii="Arial" w:cs="Arial" w:eastAsia="Arial" w:hAnsi="Arial"/>
          <w:sz w:val="24"/>
          <w:szCs w:val="24"/>
        </w:rPr>
      </w:pPr>
      <w:bookmarkStart w:colFirst="0" w:colLast="0" w:name="_heading=h.4d34og8" w:id="8"/>
      <w:bookmarkEnd w:id="8"/>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w:t>
      </w:r>
      <w:bookmarkStart w:colFirst="0" w:colLast="0" w:name="bookmark=id.2s8eyo1" w:id="9"/>
      <w:bookmarkEnd w:id="9"/>
      <w:r w:rsidDel="00000000" w:rsidR="00000000" w:rsidRPr="00000000">
        <w:rPr>
          <w:rFonts w:ascii="Arial" w:cs="Arial" w:eastAsia="Arial" w:hAnsi="Arial"/>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F">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60">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7">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8">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9">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A">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B">
      <w:pPr>
        <w:pStyle w:val="Heading1"/>
        <w:numPr>
          <w:ilvl w:val="0"/>
          <w:numId w:val="4"/>
        </w:numPr>
        <w:ind w:left="720" w:hanging="72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C">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D">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F">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70">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71">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6">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7">
      <w:pPr>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A">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B">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C">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D">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80">
      <w:pPr>
        <w:pStyle w:val="Heading1"/>
        <w:numPr>
          <w:ilvl w:val="0"/>
          <w:numId w:val="4"/>
        </w:numPr>
        <w:ind w:left="720" w:hanging="72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81">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2">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3">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4">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5">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7">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9">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C">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D">
      <w:pPr>
        <w:pStyle w:val="Heading4"/>
        <w:numPr>
          <w:ilvl w:val="3"/>
          <w:numId w:val="5"/>
        </w:numPr>
        <w:ind w:left="3312" w:hanging="1512"/>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E">
      <w:pPr>
        <w:pStyle w:val="Heading4"/>
        <w:numPr>
          <w:ilvl w:val="3"/>
          <w:numId w:val="5"/>
        </w:numPr>
        <w:ind w:left="3312" w:hanging="1512"/>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8F">
      <w:pPr>
        <w:pStyle w:val="Heading4"/>
        <w:numPr>
          <w:ilvl w:val="3"/>
          <w:numId w:val="5"/>
        </w:numPr>
        <w:ind w:left="3312" w:hanging="1512"/>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90">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91">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2">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3">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4">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95">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6">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8">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9">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A">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B">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D">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F">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A1">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2">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3">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4">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5">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7">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D">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Call Off Contract if required by a Buyer.]</w:t>
      </w:r>
      <w:r w:rsidDel="00000000" w:rsidR="00000000" w:rsidRPr="00000000">
        <w:rPr>
          <w:rtl w:val="0"/>
        </w:rPr>
      </w:r>
    </w:p>
    <w:p w:rsidR="00000000" w:rsidDel="00000000" w:rsidP="00000000" w:rsidRDefault="00000000" w:rsidRPr="00000000" w14:paraId="000000B0">
      <w:pPr>
        <w:rPr>
          <w:rFonts w:ascii="Arial" w:cs="Arial" w:eastAsia="Arial" w:hAnsi="Arial"/>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Framework Contract RM</w:t>
      </w:r>
      <w:r w:rsidDel="00000000" w:rsidR="00000000" w:rsidRPr="00000000">
        <w:rPr>
          <w:rFonts w:ascii="Arial" w:cs="Arial" w:eastAsia="Arial" w:hAnsi="Arial"/>
          <w:b w:val="1"/>
          <w:color w:val="000000"/>
          <w:sz w:val="24"/>
          <w:szCs w:val="24"/>
          <w:highlight w:val="yellow"/>
          <w:rtl w:val="0"/>
        </w:rPr>
        <w:t xml:space="preserve">[XXXX] [INSERT FRAMEWORK NAME]</w:t>
      </w:r>
      <w:r w:rsidDel="00000000" w:rsidR="00000000" w:rsidRPr="00000000">
        <w:rPr>
          <w:rFonts w:ascii="Arial" w:cs="Arial" w:eastAsia="Arial" w:hAnsi="Arial"/>
          <w:b w:val="1"/>
          <w:color w:val="000000"/>
          <w:sz w:val="24"/>
          <w:szCs w:val="24"/>
          <w:rtl w:val="0"/>
        </w:rPr>
        <w:t xml:space="preserve"> (the “Framework Contract”)</w:t>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B7">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refer to the Framework Contract. Unless otherwise defined in this Letter of Intent to Guarantee, capitalised terms used in this Letter of Intent to Guarantee have the meaning given to them in the Framework Contract.</w:t>
      </w:r>
    </w:p>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the Supplier relied on our capacity to meet the selection criteria relating to economic and financial standing that CCS set out in the procurement process for the Framework Contract.</w:t>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have issued this Letter of Intent to Guarantee in consideration of CCS entering into the Framework Contract with the Supplier. </w:t>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it is a condition of the Framework Contract that:</w:t>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provide this Letter of Intent to Guarantee to CCS (paragraph 2.1.1 of Joint Schedule 8 of the Framework Contract); and</w:t>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demand from a Buyer, the Supplier must procure that we enter into a Guarantee in the form set out in Annex 1 to Joint Schedule 8 of the Framework Contract (paragraph 2.1.2 of Joint Schedule 8 of the Framework Contract).</w:t>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w:t>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undertake to provide each Guarantee in accordance with the Framework Contract; and</w:t>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understand that CCS may terminate the Framework Contract with the Supplier as a material Default of the Framework Contract if:</w:t>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withdraw or revoke this Letter of Intent to Guarantee in whole or in part for any reason whatsoever;</w:t>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refuse to enter into a Guarantee in accordance paragraph 2.1.2 of Joint Schedule 8 of the Framework Contract; or </w:t>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Insolvency Event occurs in respect of the Guarantor.</w:t>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find enclosed a certified copy of the extract of the board minutes and/or resolution of the Guarantor approving the intention to enter into a Letter of Intent to Guarantee in accordance with the provisions of Joint Schedule 8 of the Framework Contract.</w:t>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Letter of Intent to Guarantee and any Disputes arising out of, or connected to it, are governed by English law. CCS and the Guarantor must resolve any Dispute in accordance with Clause 34 of the Core Terms of the Framework Contract as if that clause applied to this Letter of Intent to Guarantee.</w:t>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D">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3402"/>
        </w:tabs>
        <w:spacing w:after="22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RM6142 Supply of Tyres, Glass &amp; Fast Fit Solutions                                           </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3">
    <w:pPr>
      <w:spacing w:after="0" w:lineRule="auto"/>
      <w:rPr>
        <w:sz w:val="20"/>
        <w:szCs w:val="20"/>
      </w:rPr>
    </w:pPr>
    <w:r w:rsidDel="00000000" w:rsidR="00000000" w:rsidRPr="00000000">
      <w:rPr>
        <w:rFonts w:ascii="Arial" w:cs="Arial" w:eastAsia="Arial" w:hAnsi="Arial"/>
        <w:sz w:val="20"/>
        <w:szCs w:val="20"/>
        <w:rtl w:val="0"/>
      </w:rPr>
      <w:t xml:space="preserve">Model Version: v 3.2</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4">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5">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7">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20</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5">
    <w:lvl w:ilvl="0">
      <w:start w:val="1"/>
      <w:numFmt w:val="decimal"/>
      <w:lvlText w:val="%1."/>
      <w:lvlJc w:val="left"/>
      <w:pPr>
        <w:ind w:left="720" w:hanging="720"/>
      </w:pPr>
      <w:rPr/>
    </w:lvl>
    <w:lvl w:ilvl="1">
      <w:start w:val="1"/>
      <w:numFmt w:val="decimal"/>
      <w:lvlText w:val="%1.%2"/>
      <w:lvlJc w:val="left"/>
      <w:pPr>
        <w:ind w:left="720" w:hanging="720"/>
      </w:pPr>
      <w:rPr>
        <w:b w:val="1"/>
      </w:rPr>
    </w:lvl>
    <w:lvl w:ilvl="2">
      <w:start w:val="1"/>
      <w:numFmt w:val="decimal"/>
      <w:lvlText w:val="%1.%2.%3"/>
      <w:lvlJc w:val="left"/>
      <w:pPr>
        <w:ind w:left="1800" w:hanging="1080"/>
      </w:pPr>
      <w:rPr>
        <w:b w:val="1"/>
      </w:rPr>
    </w:lvl>
    <w:lvl w:ilvl="3">
      <w:start w:val="1"/>
      <w:numFmt w:val="decimal"/>
      <w:lvlText w:val="%1.%2.%3.%4"/>
      <w:lvlJc w:val="left"/>
      <w:pPr>
        <w:ind w:left="3312" w:hanging="1512"/>
      </w:pPr>
      <w:rPr>
        <w:b w:val="0"/>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120"/>
      <w:ind w:left="360" w:hanging="360"/>
      <w:outlineLvl w:val="0"/>
    </w:pPr>
    <w:rPr>
      <w:b w:val="1"/>
    </w:rPr>
  </w:style>
  <w:style w:type="paragraph" w:styleId="Heading2">
    <w:name w:val="heading 2"/>
    <w:basedOn w:val="Normal"/>
    <w:next w:val="Normal"/>
    <w:pPr>
      <w:spacing w:after="120" w:before="120"/>
      <w:ind w:left="936" w:hanging="576"/>
      <w:outlineLvl w:val="1"/>
    </w:pPr>
  </w:style>
  <w:style w:type="paragraph" w:styleId="Heading3">
    <w:name w:val="heading 3"/>
    <w:basedOn w:val="Normal"/>
    <w:next w:val="Normal"/>
    <w:pPr>
      <w:spacing w:after="120" w:before="120"/>
      <w:ind w:left="1656" w:hanging="720"/>
      <w:outlineLvl w:val="2"/>
    </w:pPr>
  </w:style>
  <w:style w:type="paragraph" w:styleId="Heading4">
    <w:name w:val="heading 4"/>
    <w:basedOn w:val="Normal"/>
    <w:next w:val="Normal"/>
    <w:pPr>
      <w:spacing w:after="120" w:before="120"/>
      <w:ind w:left="2592" w:hanging="936"/>
      <w:outlineLvl w:val="3"/>
    </w:pPr>
  </w:style>
  <w:style w:type="paragraph" w:styleId="Heading5">
    <w:name w:val="heading 5"/>
    <w:basedOn w:val="Normal"/>
    <w:next w:val="Normal"/>
    <w:pPr>
      <w:keepNext w:val="1"/>
      <w:keepLines w:val="1"/>
      <w:spacing w:after="0" w:before="200"/>
      <w:ind w:left="1008" w:hanging="1008"/>
      <w:outlineLvl w:val="4"/>
    </w:pPr>
    <w:rPr>
      <w:rFonts w:ascii="Cambria" w:cs="Cambria" w:eastAsia="Cambria" w:hAnsi="Cambria"/>
      <w:color w:val="243f61"/>
    </w:rPr>
  </w:style>
  <w:style w:type="paragraph" w:styleId="Heading6">
    <w:name w:val="heading 6"/>
    <w:basedOn w:val="Normal"/>
    <w:next w:val="Normal"/>
    <w:pPr>
      <w:keepNext w:val="1"/>
      <w:keepLines w:val="1"/>
      <w:spacing w:after="0" w:before="200"/>
      <w:ind w:left="1152" w:hanging="1152"/>
      <w:outlineLvl w:val="5"/>
    </w:pPr>
    <w:rPr>
      <w:rFonts w:ascii="Cambria" w:cs="Cambria" w:eastAsia="Cambria" w:hAnsi="Cambria"/>
      <w:i w:val="1"/>
      <w:color w:val="243f6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D73BDF"/>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D73BDF"/>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F17FAF"/>
    <w:rPr>
      <w:b w:val="1"/>
      <w:bCs w:val="1"/>
    </w:rPr>
  </w:style>
  <w:style w:type="character" w:styleId="CommentSubjectChar" w:customStyle="1">
    <w:name w:val="Comment Subject Char"/>
    <w:basedOn w:val="CommentTextChar"/>
    <w:link w:val="CommentSubject"/>
    <w:uiPriority w:val="99"/>
    <w:semiHidden w:val="1"/>
    <w:rsid w:val="00F17FAF"/>
    <w:rPr>
      <w:b w:val="1"/>
      <w:bCs w:val="1"/>
      <w:sz w:val="20"/>
      <w:szCs w:val="20"/>
    </w:rPr>
  </w:style>
  <w:style w:type="paragraph" w:styleId="Revision">
    <w:name w:val="Revision"/>
    <w:hidden w:val="1"/>
    <w:uiPriority w:val="99"/>
    <w:semiHidden w:val="1"/>
    <w:rsid w:val="006D0C9C"/>
    <w:pPr>
      <w:spacing w:after="0"/>
      <w:jc w:val="left"/>
    </w:pPr>
  </w:style>
  <w:style w:type="paragraph" w:styleId="ListParagraph">
    <w:name w:val="List Paragraph"/>
    <w:basedOn w:val="Normal"/>
    <w:uiPriority w:val="34"/>
    <w:qFormat w:val="1"/>
    <w:rsid w:val="00350D31"/>
    <w:pPr>
      <w:ind w:left="720"/>
      <w:contextualSpacing w:val="1"/>
    </w:pPr>
  </w:style>
  <w:style w:type="paragraph" w:styleId="Header">
    <w:name w:val="header"/>
    <w:basedOn w:val="Normal"/>
    <w:link w:val="HeaderChar"/>
    <w:uiPriority w:val="99"/>
    <w:unhideWhenUsed w:val="1"/>
    <w:rsid w:val="00885494"/>
    <w:pPr>
      <w:tabs>
        <w:tab w:val="center" w:pos="4513"/>
        <w:tab w:val="right" w:pos="9026"/>
      </w:tabs>
      <w:spacing w:after="0"/>
    </w:pPr>
  </w:style>
  <w:style w:type="character" w:styleId="HeaderChar" w:customStyle="1">
    <w:name w:val="Header Char"/>
    <w:basedOn w:val="DefaultParagraphFont"/>
    <w:link w:val="Header"/>
    <w:uiPriority w:val="99"/>
    <w:rsid w:val="00885494"/>
  </w:style>
  <w:style w:type="paragraph" w:styleId="Footer">
    <w:name w:val="footer"/>
    <w:basedOn w:val="Normal"/>
    <w:link w:val="FooterChar"/>
    <w:uiPriority w:val="99"/>
    <w:unhideWhenUsed w:val="1"/>
    <w:rsid w:val="00885494"/>
    <w:pPr>
      <w:tabs>
        <w:tab w:val="center" w:pos="4513"/>
        <w:tab w:val="right" w:pos="9026"/>
      </w:tabs>
      <w:spacing w:after="0"/>
    </w:pPr>
  </w:style>
  <w:style w:type="character" w:styleId="FooterChar" w:customStyle="1">
    <w:name w:val="Footer Char"/>
    <w:basedOn w:val="DefaultParagraphFont"/>
    <w:link w:val="Footer"/>
    <w:uiPriority w:val="99"/>
    <w:rsid w:val="00885494"/>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lWMLYFty/3gnuYOzQWm6G+z0I6g==">AMUW2mWmslxhZ9Vovye2yyGWLgWACmueUHd1yqcKDKMGkozVORJhmHks8WdyqggsaMxxXZJ++p6ApNq4E+Vs/hX2458OADTmX7aP8P7yTDjBAZuqabCbETlFlH5j/VaRhzTVtBUa5GrJmZRWJvY5z9L8eZTFuIx6lRGrselshWZcRPhFCQaVhc56SL27Bdo3hPfMtIWPQG8VClMfETQ1KV3rz92PZtacsvB8bQ/UD837JG8IQCHpTwq5YyKu4uUN6ToJ+S9s0lpTz3YYcvYbLWjnrpZCFCEWG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2020-12-08T14:36:00Z</dcterms:created>
  <dc:creator>David Tinkler</dc:creator>
</cp:coreProperties>
</file>